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8D" w:rsidRDefault="00ED3F8D" w:rsidP="00ED3F8D">
      <w:pPr>
        <w:rPr>
          <w:rFonts w:eastAsia="华文楷体"/>
          <w:b/>
          <w:bCs/>
          <w:color w:val="000000"/>
          <w:kern w:val="0"/>
          <w:sz w:val="32"/>
          <w:szCs w:val="32"/>
        </w:rPr>
      </w:pPr>
      <w:r>
        <w:rPr>
          <w:rFonts w:eastAsia="华文楷体"/>
          <w:b/>
          <w:bCs/>
          <w:color w:val="000000"/>
          <w:kern w:val="0"/>
          <w:sz w:val="32"/>
          <w:szCs w:val="32"/>
        </w:rPr>
        <w:t>附件</w:t>
      </w:r>
      <w:r>
        <w:rPr>
          <w:rFonts w:eastAsia="华文楷体" w:hint="eastAsia"/>
          <w:b/>
          <w:bCs/>
          <w:color w:val="000000"/>
          <w:kern w:val="0"/>
          <w:sz w:val="32"/>
          <w:szCs w:val="32"/>
        </w:rPr>
        <w:t>三</w:t>
      </w:r>
      <w:r>
        <w:rPr>
          <w:rFonts w:eastAsia="华文楷体"/>
          <w:b/>
          <w:bCs/>
          <w:color w:val="000000"/>
          <w:kern w:val="0"/>
          <w:sz w:val="32"/>
          <w:szCs w:val="32"/>
        </w:rPr>
        <w:t>：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79"/>
        <w:gridCol w:w="4253"/>
        <w:gridCol w:w="1238"/>
        <w:gridCol w:w="951"/>
        <w:gridCol w:w="984"/>
      </w:tblGrid>
      <w:tr w:rsidR="00ED3F8D" w:rsidTr="003609F1">
        <w:trPr>
          <w:trHeight w:val="792"/>
        </w:trPr>
        <w:tc>
          <w:tcPr>
            <w:tcW w:w="10080" w:type="dxa"/>
            <w:gridSpan w:val="6"/>
            <w:shd w:val="clear" w:color="000000" w:fill="0000FF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ascii="华文行楷" w:eastAsia="华文行楷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华文行楷" w:eastAsia="华文行楷" w:hint="eastAsia"/>
                <w:b/>
                <w:bCs/>
                <w:color w:val="FFFF00"/>
                <w:kern w:val="0"/>
                <w:sz w:val="44"/>
                <w:szCs w:val="44"/>
              </w:rPr>
              <w:t>第八届全国脑电与脑成像研究与应用研讨会日程表</w:t>
            </w:r>
          </w:p>
        </w:tc>
      </w:tr>
      <w:tr w:rsidR="00ED3F8D" w:rsidTr="003609F1">
        <w:trPr>
          <w:trHeight w:val="454"/>
        </w:trPr>
        <w:tc>
          <w:tcPr>
            <w:tcW w:w="10080" w:type="dxa"/>
            <w:gridSpan w:val="6"/>
            <w:shd w:val="clear" w:color="000000" w:fill="F2F2F2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20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21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4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/2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3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ascii="华文新魏" w:eastAsia="华文新魏" w:hint="eastAsia"/>
                <w:b/>
                <w:bCs/>
                <w:color w:val="0000FF"/>
                <w:kern w:val="0"/>
                <w:sz w:val="28"/>
                <w:szCs w:val="28"/>
              </w:rPr>
              <w:t>星期五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）</w:t>
            </w:r>
          </w:p>
        </w:tc>
      </w:tr>
      <w:tr w:rsidR="00ED3F8D" w:rsidTr="003609F1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时间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Cs w:val="21"/>
              </w:rPr>
              <w:t>脑电新技术新进展工作坊</w:t>
            </w: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报告题目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报告人</w:t>
            </w:r>
          </w:p>
        </w:tc>
        <w:tc>
          <w:tcPr>
            <w:tcW w:w="984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rightChars="-28" w:right="-67" w:hangingChars="52" w:hanging="125"/>
              <w:jc w:val="center"/>
              <w:rPr>
                <w:rFonts w:eastAsia="华文楷体"/>
                <w:bCs/>
                <w:kern w:val="0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Cs w:val="21"/>
              </w:rPr>
              <w:t>地点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Cs w:val="21"/>
              </w:rPr>
              <w:t>上午</w:t>
            </w: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9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:00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脑电信号处理与特征提取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胡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984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213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0:00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脑电的单试次分析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张丹丹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1:00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12:00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静息态脑电与源成像新进展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雷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旭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Cs w:val="21"/>
              </w:rPr>
              <w:t>下午</w:t>
            </w: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14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自然刺激下脑电分析：挑战与实践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丛丰裕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15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脑电的时频分析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彭微微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16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基于脑电的机器学习分析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涂毅恒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17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18:00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rightChars="-48" w:right="-115"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基于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EEG/MEG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信号的大尺度脑功能网络分析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贾会宾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19:30-2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1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:30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中国心理学会脑电相关技术专业委员会</w:t>
            </w:r>
          </w:p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中国认知科学学会社会认知科学分会</w:t>
            </w:r>
          </w:p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广东省认知科学学会</w:t>
            </w: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/>
                <w:bCs/>
                <w:color w:val="0000FF"/>
                <w:kern w:val="0"/>
                <w:sz w:val="21"/>
                <w:szCs w:val="21"/>
              </w:rPr>
              <w:t>联席理事会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罗跃嘉</w:t>
            </w:r>
          </w:p>
        </w:tc>
        <w:tc>
          <w:tcPr>
            <w:tcW w:w="984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213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10080" w:type="dxa"/>
            <w:gridSpan w:val="6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20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21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4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24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ascii="华文新魏" w:eastAsia="华文新魏"/>
                <w:b/>
                <w:bCs/>
                <w:color w:val="0000FF"/>
                <w:kern w:val="0"/>
                <w:sz w:val="28"/>
                <w:szCs w:val="28"/>
              </w:rPr>
              <w:t>星期</w:t>
            </w:r>
            <w:r>
              <w:rPr>
                <w:rFonts w:ascii="华文新魏" w:eastAsia="华文新魏" w:hint="eastAsia"/>
                <w:b/>
                <w:bCs/>
                <w:color w:val="0000FF"/>
                <w:kern w:val="0"/>
                <w:sz w:val="28"/>
                <w:szCs w:val="28"/>
              </w:rPr>
              <w:t>六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）</w:t>
            </w:r>
          </w:p>
        </w:tc>
      </w:tr>
      <w:tr w:rsidR="00ED3F8D" w:rsidTr="003609F1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时间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报告题目</w:t>
            </w:r>
          </w:p>
        </w:tc>
        <w:tc>
          <w:tcPr>
            <w:tcW w:w="1238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报告人</w:t>
            </w:r>
          </w:p>
        </w:tc>
        <w:tc>
          <w:tcPr>
            <w:tcW w:w="951" w:type="dxa"/>
            <w:shd w:val="clear" w:color="000000" w:fill="F2F2F2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主持人</w:t>
            </w:r>
          </w:p>
        </w:tc>
        <w:tc>
          <w:tcPr>
            <w:tcW w:w="984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地点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8:30-9:00</w:t>
            </w:r>
          </w:p>
        </w:tc>
        <w:tc>
          <w:tcPr>
            <w:tcW w:w="5491" w:type="dxa"/>
            <w:gridSpan w:val="2"/>
            <w:shd w:val="clear" w:color="auto" w:fill="FFFFFF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开幕式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，全体合影</w:t>
            </w:r>
          </w:p>
        </w:tc>
        <w:tc>
          <w:tcPr>
            <w:tcW w:w="951" w:type="dxa"/>
            <w:shd w:val="clear" w:color="auto" w:fill="FFFFFF"/>
          </w:tcPr>
          <w:p w:rsidR="00ED3F8D" w:rsidRDefault="00ED3F8D" w:rsidP="003609F1">
            <w:pPr>
              <w:widowControl/>
              <w:spacing w:line="360" w:lineRule="auto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陈安涛</w:t>
            </w:r>
          </w:p>
        </w:tc>
        <w:tc>
          <w:tcPr>
            <w:tcW w:w="984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t>主会场</w:t>
            </w:r>
          </w:p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 w:val="restart"/>
            <w:shd w:val="clear" w:color="000000" w:fill="F2F2F2"/>
            <w:noWrap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color w:val="0000FF"/>
                <w:kern w:val="0"/>
                <w:szCs w:val="21"/>
              </w:rPr>
              <w:t>上午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9:00-9:35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人脑语言中枢发育与定位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谭力海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周晓林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spacing w:line="360" w:lineRule="auto"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9:35-10:10</w:t>
            </w:r>
          </w:p>
        </w:tc>
        <w:tc>
          <w:tcPr>
            <w:tcW w:w="4253" w:type="dxa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Fundamental roles of beliefs in empathy and altruism: behavioral, EEG, and fMRI evidence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韩世辉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  <w:t>10:10-10:20</w:t>
            </w:r>
          </w:p>
        </w:tc>
        <w:tc>
          <w:tcPr>
            <w:tcW w:w="6442" w:type="dxa"/>
            <w:gridSpan w:val="3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10:20-10:55</w:t>
            </w:r>
          </w:p>
        </w:tc>
        <w:tc>
          <w:tcPr>
            <w:tcW w:w="4253" w:type="dxa"/>
            <w:noWrap/>
            <w:vAlign w:val="center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心理生理计算与抑郁障碍的量化诊疗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sz w:val="21"/>
                <w:szCs w:val="21"/>
              </w:rPr>
              <w:t>胡</w:t>
            </w:r>
            <w:r>
              <w:rPr>
                <w:rFonts w:eastAsia="华文楷体" w:hAnsi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 w:hint="eastAsia"/>
                <w:sz w:val="21"/>
                <w:szCs w:val="21"/>
              </w:rPr>
              <w:t>斌</w:t>
            </w:r>
          </w:p>
        </w:tc>
        <w:tc>
          <w:tcPr>
            <w:tcW w:w="951" w:type="dxa"/>
            <w:vMerge w:val="restart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李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红</w:t>
            </w: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396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10:55-11:30</w:t>
            </w:r>
          </w:p>
        </w:tc>
        <w:tc>
          <w:tcPr>
            <w:tcW w:w="4253" w:type="dxa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发育神经影像学：学龄儿童青少年脑发育的网络机制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 w:hAnsi="华文楷体"/>
                <w:sz w:val="21"/>
                <w:szCs w:val="21"/>
              </w:rPr>
            </w:pPr>
            <w:r>
              <w:rPr>
                <w:rFonts w:eastAsia="华文楷体" w:hAnsi="华文楷体" w:hint="eastAsia"/>
                <w:sz w:val="21"/>
                <w:szCs w:val="21"/>
              </w:rPr>
              <w:t>左西年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530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05</w:t>
            </w:r>
          </w:p>
        </w:tc>
        <w:tc>
          <w:tcPr>
            <w:tcW w:w="4253" w:type="dxa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Anhedonia and amotivation across psyhicatric disorders: Preliminary findings from a task-based imaging paradigm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 w:hAnsi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陈楚侨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12:05-2:00</w:t>
            </w:r>
          </w:p>
        </w:tc>
        <w:tc>
          <w:tcPr>
            <w:tcW w:w="7426" w:type="dxa"/>
            <w:gridSpan w:val="4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午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**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+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休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息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 w:val="restart"/>
            <w:shd w:val="clear" w:color="000000" w:fill="F2F2F2"/>
            <w:noWrap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FF"/>
                <w:kern w:val="0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color w:val="0000FF"/>
                <w:kern w:val="0"/>
                <w:szCs w:val="21"/>
              </w:rPr>
              <w:lastRenderedPageBreak/>
              <w:t>下午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lastRenderedPageBreak/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Olfactory modulation of brain state and behavioral performance independent of odor intensity and pleasantness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周</w:t>
            </w:r>
            <w:r>
              <w:rPr>
                <w:rFonts w:eastAsia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sz w:val="21"/>
                <w:szCs w:val="21"/>
              </w:rPr>
              <w:t>雯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周成林</w:t>
            </w:r>
          </w:p>
        </w:tc>
        <w:tc>
          <w:tcPr>
            <w:tcW w:w="984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lastRenderedPageBreak/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1</w:t>
            </w:r>
          </w:p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lastRenderedPageBreak/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拖延行为的神经基础与神经调控</w:t>
            </w:r>
          </w:p>
        </w:tc>
        <w:tc>
          <w:tcPr>
            <w:tcW w:w="1238" w:type="dxa"/>
            <w:vAlign w:val="bottom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冯廷勇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253" w:type="dxa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Behavioral and Neurobiological Mechanisms of Cooperative Decisions</w:t>
            </w:r>
          </w:p>
        </w:tc>
        <w:tc>
          <w:tcPr>
            <w:tcW w:w="1238" w:type="dxa"/>
            <w:vAlign w:val="bottom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马燚娜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Brain Imaging of Bariatric Surgery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张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毅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46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Gamma-band Neural Coupling during Conceptual Alignment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李先春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31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3:40-4:00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孤独症儿童家庭亲子神经同步性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韩</w:t>
            </w:r>
            <w:r>
              <w:rPr>
                <w:rFonts w:eastAsia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sz w:val="21"/>
                <w:szCs w:val="21"/>
              </w:rPr>
              <w:t>卓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4:0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5491" w:type="dxa"/>
            <w:gridSpan w:val="2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4:20-5:20</w:t>
            </w:r>
          </w:p>
        </w:tc>
        <w:tc>
          <w:tcPr>
            <w:tcW w:w="4253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kern w:val="0"/>
                <w:sz w:val="21"/>
                <w:szCs w:val="21"/>
              </w:rPr>
              <w:t>脑成像与脑电仪器介绍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kern w:val="0"/>
                <w:sz w:val="21"/>
                <w:szCs w:val="21"/>
              </w:rPr>
              <w:t>赞助商</w:t>
            </w:r>
          </w:p>
        </w:tc>
        <w:tc>
          <w:tcPr>
            <w:tcW w:w="951" w:type="dxa"/>
            <w:vMerge w:val="restart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罗跃嘉</w:t>
            </w: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-6:30</w:t>
            </w:r>
          </w:p>
        </w:tc>
        <w:tc>
          <w:tcPr>
            <w:tcW w:w="4253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kern w:val="0"/>
                <w:sz w:val="21"/>
                <w:szCs w:val="21"/>
              </w:rPr>
              <w:t>优秀论文评选</w:t>
            </w: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（每个申请人报告</w:t>
            </w: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分钟）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FF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专家评审</w:t>
            </w:r>
          </w:p>
        </w:tc>
        <w:tc>
          <w:tcPr>
            <w:tcW w:w="951" w:type="dxa"/>
            <w:vMerge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D8D8D8"/>
                <w:kern w:val="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D8D8D8"/>
                <w:kern w:val="0"/>
                <w:sz w:val="21"/>
                <w:szCs w:val="21"/>
                <w:shd w:val="pct10" w:color="auto" w:fill="FFFFFF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6:30-7:30</w:t>
            </w:r>
          </w:p>
        </w:tc>
        <w:tc>
          <w:tcPr>
            <w:tcW w:w="7426" w:type="dxa"/>
            <w:gridSpan w:val="4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D8D8D8"/>
                <w:kern w:val="0"/>
                <w:sz w:val="21"/>
                <w:szCs w:val="21"/>
                <w:shd w:val="pct10" w:color="auto" w:fill="FFFFFF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晚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**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9405" w:type="dxa"/>
            <w:gridSpan w:val="5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D8D8D8"/>
                <w:kern w:val="0"/>
                <w:sz w:val="21"/>
                <w:szCs w:val="21"/>
                <w:shd w:val="pct10" w:color="auto" w:fill="FFFFFF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人类空间导航的神经振荡机制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王亮</w:t>
            </w:r>
          </w:p>
        </w:tc>
        <w:tc>
          <w:tcPr>
            <w:tcW w:w="951" w:type="dxa"/>
            <w:vMerge w:val="restart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胡理</w:t>
            </w:r>
          </w:p>
        </w:tc>
        <w:tc>
          <w:tcPr>
            <w:tcW w:w="984" w:type="dxa"/>
            <w:vMerge w:val="restart"/>
            <w:vAlign w:val="center"/>
          </w:tcPr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</w:t>
            </w:r>
          </w:p>
          <w:p w:rsidR="00ED3F8D" w:rsidRDefault="00ED3F8D" w:rsidP="003609F1">
            <w:pPr>
              <w:widowControl/>
              <w:ind w:leftChars="-52" w:left="-16" w:rightChars="-28" w:right="-67" w:hangingChars="52" w:hanging="109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213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高海拔低氧环境下体育运动对注意功能的影响及其神经机制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马海林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青少年网络游戏成瘾的脑机制及干预研究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张锦涛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视觉工作记忆的多状态研究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FF0000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刘</w:t>
            </w:r>
            <w:r>
              <w:rPr>
                <w:rFonts w:eastAsia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sz w:val="21"/>
                <w:szCs w:val="21"/>
              </w:rPr>
              <w:t>强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05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Moral cognition and Antisocial Behavior for Individuals with Elevated Psychopathic Traits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杨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群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296"/>
        </w:trPr>
        <w:tc>
          <w:tcPr>
            <w:tcW w:w="675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3:40-4:00</w:t>
            </w:r>
          </w:p>
        </w:tc>
        <w:tc>
          <w:tcPr>
            <w:tcW w:w="4253" w:type="dxa"/>
            <w:vAlign w:val="bottom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基于个人贡献的资源分配决策及影响因素</w:t>
            </w:r>
          </w:p>
        </w:tc>
        <w:tc>
          <w:tcPr>
            <w:tcW w:w="1238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李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鹏</w:t>
            </w:r>
          </w:p>
        </w:tc>
        <w:tc>
          <w:tcPr>
            <w:tcW w:w="951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5" w:type="dxa"/>
            <w:vMerge w:val="restart"/>
            <w:shd w:val="clear" w:color="auto" w:fill="F1F1F1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F1F1F1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4:0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7426" w:type="dxa"/>
            <w:gridSpan w:val="4"/>
            <w:shd w:val="clear" w:color="auto" w:fill="F1F1F1"/>
            <w:vAlign w:val="center"/>
          </w:tcPr>
          <w:p w:rsidR="00ED3F8D" w:rsidRDefault="00ED3F8D" w:rsidP="003609F1">
            <w:pPr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</w:tr>
      <w:tr w:rsidR="00ED3F8D" w:rsidTr="003609F1">
        <w:trPr>
          <w:trHeight w:val="454"/>
        </w:trPr>
        <w:tc>
          <w:tcPr>
            <w:tcW w:w="675" w:type="dxa"/>
            <w:vMerge/>
            <w:shd w:val="clear" w:color="auto" w:fill="F1F1F1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F1F1F1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426" w:type="dxa"/>
            <w:gridSpan w:val="4"/>
            <w:shd w:val="clear" w:color="auto" w:fill="F1F1F1"/>
          </w:tcPr>
          <w:p w:rsidR="00ED3F8D" w:rsidRDefault="00ED3F8D" w:rsidP="003609F1">
            <w:pPr>
              <w:widowControl/>
              <w:spacing w:beforeLines="30" w:before="100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参加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主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会场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415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厅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学术活动</w:t>
            </w:r>
          </w:p>
        </w:tc>
      </w:tr>
    </w:tbl>
    <w:p w:rsidR="00ED3F8D" w:rsidRDefault="00ED3F8D" w:rsidP="00ED3F8D">
      <w:pPr>
        <w:spacing w:line="100" w:lineRule="atLeast"/>
        <w:rPr>
          <w:rFonts w:eastAsia="华文楷体"/>
          <w:szCs w:val="21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663"/>
        <w:gridCol w:w="186"/>
        <w:gridCol w:w="4211"/>
        <w:gridCol w:w="1099"/>
        <w:gridCol w:w="1102"/>
        <w:gridCol w:w="1143"/>
      </w:tblGrid>
      <w:tr w:rsidR="00ED3F8D" w:rsidTr="003609F1">
        <w:trPr>
          <w:trHeight w:val="454"/>
        </w:trPr>
        <w:tc>
          <w:tcPr>
            <w:tcW w:w="10080" w:type="dxa"/>
            <w:gridSpan w:val="7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20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21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4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25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ascii="华文新魏" w:eastAsia="华文新魏"/>
                <w:b/>
                <w:bCs/>
                <w:color w:val="0000FF"/>
                <w:kern w:val="0"/>
                <w:sz w:val="28"/>
                <w:szCs w:val="28"/>
              </w:rPr>
              <w:t>星期</w:t>
            </w:r>
            <w:r>
              <w:rPr>
                <w:rFonts w:ascii="华文新魏" w:eastAsia="华文新魏" w:hint="eastAsia"/>
                <w:b/>
                <w:bCs/>
                <w:color w:val="0000FF"/>
                <w:kern w:val="0"/>
                <w:sz w:val="28"/>
                <w:szCs w:val="28"/>
              </w:rPr>
              <w:t>日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）</w:t>
            </w:r>
          </w:p>
        </w:tc>
      </w:tr>
      <w:tr w:rsidR="00ED3F8D" w:rsidTr="003609F1">
        <w:trPr>
          <w:trHeight w:val="454"/>
        </w:trPr>
        <w:tc>
          <w:tcPr>
            <w:tcW w:w="233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时间</w:t>
            </w:r>
          </w:p>
        </w:tc>
        <w:tc>
          <w:tcPr>
            <w:tcW w:w="4397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报告题目</w:t>
            </w:r>
          </w:p>
        </w:tc>
        <w:tc>
          <w:tcPr>
            <w:tcW w:w="1099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报告人</w:t>
            </w:r>
          </w:p>
        </w:tc>
        <w:tc>
          <w:tcPr>
            <w:tcW w:w="1102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主持人</w:t>
            </w:r>
          </w:p>
        </w:tc>
        <w:tc>
          <w:tcPr>
            <w:tcW w:w="114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地点</w:t>
            </w:r>
          </w:p>
        </w:tc>
      </w:tr>
      <w:tr w:rsidR="00ED3F8D" w:rsidTr="003609F1">
        <w:trPr>
          <w:trHeight w:val="454"/>
        </w:trPr>
        <w:tc>
          <w:tcPr>
            <w:tcW w:w="676" w:type="dxa"/>
            <w:vMerge w:val="restart"/>
            <w:shd w:val="clear" w:color="000000" w:fill="F2F2F2"/>
            <w:noWrap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上午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0-9: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脑器交互学研究—从脑成像到脑模拟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尧德中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陈安涛</w:t>
            </w:r>
          </w:p>
        </w:tc>
        <w:tc>
          <w:tcPr>
            <w:tcW w:w="1143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t>主会场</w:t>
            </w:r>
          </w:p>
          <w:p w:rsidR="00ED3F8D" w:rsidRDefault="00ED3F8D" w:rsidP="003609F1">
            <w:pPr>
              <w:widowControl/>
              <w:ind w:leftChars="-52" w:left="-16" w:rightChars="-28" w:right="-67" w:hangingChars="52" w:hanging="109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000000" w:fill="F2F2F2"/>
            <w:noWrap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9: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10:1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进食及疫情下的行为认知神经研究进展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陈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红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-1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6598" w:type="dxa"/>
            <w:gridSpan w:val="4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10:3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-11: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05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睡眠、认知与脑功能调控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杰</w:t>
            </w:r>
          </w:p>
        </w:tc>
        <w:tc>
          <w:tcPr>
            <w:tcW w:w="1102" w:type="dxa"/>
            <w:vMerge w:val="restart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王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亮</w:t>
            </w: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11:05-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:35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生物运动信息的视觉认知加工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蒋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毅</w:t>
            </w:r>
          </w:p>
        </w:tc>
        <w:tc>
          <w:tcPr>
            <w:tcW w:w="1102" w:type="dxa"/>
            <w:vMerge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233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FF"/>
                <w:kern w:val="0"/>
                <w:sz w:val="21"/>
                <w:szCs w:val="21"/>
              </w:rPr>
              <w:t>11:45-2:00</w:t>
            </w:r>
          </w:p>
        </w:tc>
        <w:tc>
          <w:tcPr>
            <w:tcW w:w="7741" w:type="dxa"/>
            <w:gridSpan w:val="5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午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**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+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休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息</w:t>
            </w:r>
          </w:p>
        </w:tc>
      </w:tr>
      <w:tr w:rsidR="00ED3F8D" w:rsidTr="003609F1">
        <w:trPr>
          <w:trHeight w:val="454"/>
        </w:trPr>
        <w:tc>
          <w:tcPr>
            <w:tcW w:w="676" w:type="dxa"/>
            <w:vMerge w:val="restart"/>
            <w:shd w:val="clear" w:color="000000" w:fill="F2F2F2"/>
            <w:noWrap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下</w:t>
            </w:r>
          </w:p>
          <w:p w:rsidR="00ED3F8D" w:rsidRDefault="00ED3F8D" w:rsidP="003609F1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午</w:t>
            </w: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lastRenderedPageBreak/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shd w:val="clear" w:color="auto" w:fill="auto"/>
            <w:vAlign w:val="bottom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抑郁焦虑情感的多模态脑影像学研究进展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邱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color w:val="000000"/>
                <w:sz w:val="21"/>
                <w:szCs w:val="21"/>
              </w:rPr>
              <w:t>江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袁加锦</w:t>
            </w:r>
          </w:p>
        </w:tc>
        <w:tc>
          <w:tcPr>
            <w:tcW w:w="1143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1</w:t>
            </w: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ED3F8D" w:rsidRDefault="00ED3F8D" w:rsidP="003609F1">
            <w:pPr>
              <w:widowControl/>
              <w:ind w:leftChars="-52" w:left="-16" w:hangingChars="52" w:hanging="109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Abnormal functional interaction among large-scale brain functional networks in patients with major depressive disorder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周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媛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Morality matters in Social decision Making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崔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芳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0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脑电网络分析方法及其在认知神经科学研究中的应用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徐</w:t>
            </w:r>
            <w:r>
              <w:rPr>
                <w:rFonts w:eastAsia="华文楷体" w:hint="eastAsia"/>
                <w:sz w:val="21"/>
                <w:szCs w:val="21"/>
              </w:rPr>
              <w:t xml:space="preserve"> </w:t>
            </w:r>
            <w:r>
              <w:rPr>
                <w:rFonts w:eastAsia="华文楷体"/>
                <w:sz w:val="21"/>
                <w:szCs w:val="21"/>
              </w:rPr>
              <w:t xml:space="preserve"> </w:t>
            </w:r>
            <w:r>
              <w:rPr>
                <w:rFonts w:eastAsia="华文楷体" w:hint="eastAsia"/>
                <w:sz w:val="21"/>
                <w:szCs w:val="21"/>
              </w:rPr>
              <w:t>鹏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148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3:20-3:40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动作预期发生的关键神经机制：静息态多中心的脑成像研究证据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魏高峡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  <w:t>3:40-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397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1099" w:type="dxa"/>
            <w:shd w:val="clear" w:color="000000" w:fill="F2F2F2"/>
            <w:vAlign w:val="center"/>
          </w:tcPr>
          <w:p w:rsidR="00ED3F8D" w:rsidRDefault="00ED3F8D" w:rsidP="003609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注意抑制的认知与神经机制研究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李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晟</w:t>
            </w:r>
          </w:p>
        </w:tc>
        <w:tc>
          <w:tcPr>
            <w:tcW w:w="1102" w:type="dxa"/>
            <w:vMerge w:val="restart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罗文波</w:t>
            </w: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bottom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青少年情绪问题的行为遗传学研究：从环境、基因到脑机制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李新影</w:t>
            </w:r>
          </w:p>
        </w:tc>
        <w:tc>
          <w:tcPr>
            <w:tcW w:w="1102" w:type="dxa"/>
            <w:vMerge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人类社会交互场计算模型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蒯曙光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07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397" w:type="dxa"/>
            <w:gridSpan w:val="2"/>
            <w:vAlign w:val="bottom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心理预期对自身和他人疼痛的调控作用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彭微微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101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5:20-5:40</w:t>
            </w:r>
          </w:p>
        </w:tc>
        <w:tc>
          <w:tcPr>
            <w:tcW w:w="4397" w:type="dxa"/>
            <w:gridSpan w:val="2"/>
            <w:vAlign w:val="bottom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外表美，心灵美，谁更美？——心理学和神经科学的解读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杨</w:t>
            </w:r>
            <w:r>
              <w:rPr>
                <w:rFonts w:eastAsia="华文楷体" w:hint="eastAsia"/>
                <w:sz w:val="21"/>
                <w:szCs w:val="21"/>
              </w:rPr>
              <w:t xml:space="preserve"> </w:t>
            </w:r>
            <w:r>
              <w:rPr>
                <w:rFonts w:eastAsia="华文楷体"/>
                <w:sz w:val="21"/>
                <w:szCs w:val="21"/>
              </w:rPr>
              <w:t xml:space="preserve"> </w:t>
            </w:r>
            <w:r>
              <w:rPr>
                <w:rFonts w:eastAsia="华文楷体" w:hint="eastAsia"/>
                <w:sz w:val="21"/>
                <w:szCs w:val="21"/>
              </w:rPr>
              <w:t>娟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F1F1F1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-6:00</w:t>
            </w:r>
          </w:p>
        </w:tc>
        <w:tc>
          <w:tcPr>
            <w:tcW w:w="4397" w:type="dxa"/>
            <w:gridSpan w:val="2"/>
            <w:shd w:val="clear" w:color="auto" w:fill="F1F1F1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闭幕式、颁奖</w:t>
            </w:r>
          </w:p>
        </w:tc>
        <w:tc>
          <w:tcPr>
            <w:tcW w:w="2201" w:type="dxa"/>
            <w:gridSpan w:val="2"/>
            <w:shd w:val="clear" w:color="auto" w:fill="F1F1F1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罗跃嘉</w:t>
            </w:r>
          </w:p>
        </w:tc>
        <w:tc>
          <w:tcPr>
            <w:tcW w:w="1143" w:type="dxa"/>
            <w:vMerge/>
            <w:shd w:val="clear" w:color="auto" w:fill="F1F1F1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F1F1F1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6:00-7:00</w:t>
            </w:r>
          </w:p>
        </w:tc>
        <w:tc>
          <w:tcPr>
            <w:tcW w:w="7741" w:type="dxa"/>
            <w:gridSpan w:val="5"/>
            <w:shd w:val="clear" w:color="auto" w:fill="F1F1F1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晚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**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9404" w:type="dxa"/>
            <w:gridSpan w:val="6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中国学龄期儿童的注意力脑电研究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Ansi="华文楷体" w:hint="eastAsia"/>
                <w:sz w:val="21"/>
                <w:szCs w:val="21"/>
              </w:rPr>
              <w:t>宋</w:t>
            </w:r>
            <w:r>
              <w:rPr>
                <w:rFonts w:eastAsia="华文楷体" w:hAnsi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 w:hint="eastAsia"/>
                <w:sz w:val="21"/>
                <w:szCs w:val="21"/>
              </w:rPr>
              <w:t>艳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秦绍正</w:t>
            </w:r>
          </w:p>
        </w:tc>
        <w:tc>
          <w:tcPr>
            <w:tcW w:w="1143" w:type="dxa"/>
            <w:vMerge w:val="restart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kern w:val="0"/>
                <w:sz w:val="21"/>
                <w:szCs w:val="21"/>
              </w:rPr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</w:t>
            </w:r>
          </w:p>
          <w:p w:rsidR="00ED3F8D" w:rsidRDefault="00ED3F8D" w:rsidP="003609F1">
            <w:pPr>
              <w:widowControl/>
              <w:ind w:leftChars="-52" w:left="-16" w:rightChars="-28" w:right="-67" w:hangingChars="52" w:hanging="109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213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疼痛敏感性个体内差异的神经机制与调控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涂毅恒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211" w:type="dxa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瞬时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alpha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频率的无标度性：验证、重测信度及影响因素分析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贾会宾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25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伍海燕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360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3:20-3:40</w:t>
            </w:r>
          </w:p>
        </w:tc>
        <w:tc>
          <w:tcPr>
            <w:tcW w:w="4211" w:type="dxa"/>
            <w:vAlign w:val="center"/>
          </w:tcPr>
          <w:p w:rsidR="00ED3F8D" w:rsidRDefault="00ED3F8D" w:rsidP="003609F1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团体创造中的角色不对称性：基于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fNIRS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的超扫描研究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赵庆柏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  <w:t>3:40-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6412" w:type="dxa"/>
            <w:gridSpan w:val="3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4211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工作记忆的特征绑定与联结学习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库逸轩</w:t>
            </w:r>
          </w:p>
        </w:tc>
        <w:tc>
          <w:tcPr>
            <w:tcW w:w="1102" w:type="dxa"/>
            <w:vMerge w:val="restart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刘超</w:t>
            </w: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ED3F8D" w:rsidRDefault="00ED3F8D" w:rsidP="003609F1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信任构建：社会等级与社会学习的作用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曲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color w:val="000000"/>
                <w:sz w:val="21"/>
                <w:szCs w:val="21"/>
              </w:rPr>
              <w:t>琛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自我肯定对威胁信息的影响</w:t>
            </w:r>
          </w:p>
        </w:tc>
        <w:tc>
          <w:tcPr>
            <w:tcW w:w="1099" w:type="dxa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杨苏勇</w:t>
            </w:r>
          </w:p>
        </w:tc>
        <w:tc>
          <w:tcPr>
            <w:tcW w:w="1102" w:type="dxa"/>
            <w:vMerge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396"/>
        </w:trPr>
        <w:tc>
          <w:tcPr>
            <w:tcW w:w="676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211" w:type="dxa"/>
            <w:shd w:val="clear" w:color="auto" w:fill="FFFFFF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胡晓晴</w:t>
            </w: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178"/>
        </w:trPr>
        <w:tc>
          <w:tcPr>
            <w:tcW w:w="676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5:20-5:40</w:t>
            </w:r>
          </w:p>
        </w:tc>
        <w:tc>
          <w:tcPr>
            <w:tcW w:w="4211" w:type="dxa"/>
            <w:shd w:val="clear" w:color="auto" w:fill="FFFFFF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静息态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EEG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及其应用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雷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旭</w:t>
            </w: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:rsidR="00ED3F8D" w:rsidRDefault="00ED3F8D" w:rsidP="003609F1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-6:00</w:t>
            </w:r>
          </w:p>
        </w:tc>
        <w:tc>
          <w:tcPr>
            <w:tcW w:w="5310" w:type="dxa"/>
            <w:gridSpan w:val="2"/>
            <w:shd w:val="clear" w:color="auto" w:fill="FFFFFF"/>
            <w:vAlign w:val="center"/>
          </w:tcPr>
          <w:p w:rsidR="00ED3F8D" w:rsidRDefault="00ED3F8D" w:rsidP="003609F1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到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主会场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厅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参加闭幕式</w:t>
            </w: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ED3F8D" w:rsidTr="003609F1">
        <w:trPr>
          <w:trHeight w:val="454"/>
        </w:trPr>
        <w:tc>
          <w:tcPr>
            <w:tcW w:w="676" w:type="dxa"/>
            <w:vMerge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6:00-7:00</w:t>
            </w:r>
          </w:p>
        </w:tc>
        <w:tc>
          <w:tcPr>
            <w:tcW w:w="7555" w:type="dxa"/>
            <w:gridSpan w:val="4"/>
            <w:shd w:val="clear" w:color="000000" w:fill="F2F2F2"/>
            <w:vAlign w:val="center"/>
          </w:tcPr>
          <w:p w:rsidR="00ED3F8D" w:rsidRDefault="00ED3F8D" w:rsidP="003609F1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晚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**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</w:p>
        </w:tc>
      </w:tr>
    </w:tbl>
    <w:p w:rsidR="00ED3F8D" w:rsidRDefault="00ED3F8D" w:rsidP="00ED3F8D">
      <w:pPr>
        <w:spacing w:line="100" w:lineRule="atLeast"/>
        <w:rPr>
          <w:rFonts w:eastAsia="华文楷体"/>
          <w:sz w:val="10"/>
          <w:szCs w:val="10"/>
        </w:rPr>
      </w:pPr>
    </w:p>
    <w:p w:rsidR="004B5A53" w:rsidRDefault="004B5A53">
      <w:bookmarkStart w:id="0" w:name="_GoBack"/>
      <w:bookmarkEnd w:id="0"/>
    </w:p>
    <w:sectPr w:rsidR="004B5A53">
      <w:pgSz w:w="11906" w:h="16838"/>
      <w:pgMar w:top="1440" w:right="1083" w:bottom="1440" w:left="1083" w:header="851" w:footer="992" w:gutter="0"/>
      <w:cols w:space="720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"/>
    <w:charset w:val="86"/>
    <w:family w:val="auto"/>
    <w:pitch w:val="default"/>
    <w:sig w:usb0="00000287" w:usb1="080F0000" w:usb2="00000010" w:usb3="00000000" w:csb0="0004009F" w:csb1="00000000"/>
  </w:font>
  <w:font w:name="华文行楷">
    <w:altName w:val="微软雅黑"/>
    <w:charset w:val="86"/>
    <w:family w:val="auto"/>
    <w:pitch w:val="default"/>
    <w:sig w:usb0="00000001" w:usb1="080F0000" w:usb2="00000010" w:usb3="00000000" w:csb0="00040000" w:csb1="00000000"/>
  </w:font>
  <w:font w:name="华文新魏">
    <w:altName w:val="宋体"/>
    <w:charset w:val="86"/>
    <w:family w:val="auto"/>
    <w:pitch w:val="default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8D"/>
    <w:rsid w:val="00077BC0"/>
    <w:rsid w:val="001258A0"/>
    <w:rsid w:val="004B5A53"/>
    <w:rsid w:val="00E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EB374-9135-4A74-B41A-E7AE46F7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F8D"/>
    <w:pPr>
      <w:widowControl w:val="0"/>
      <w:spacing w:line="400" w:lineRule="exact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2021-03-28T12:47:00Z</dcterms:created>
  <dcterms:modified xsi:type="dcterms:W3CDTF">2021-03-28T12:48:00Z</dcterms:modified>
</cp:coreProperties>
</file>